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2880" w:firstLine="0"/>
        <w:jc w:val="lef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       みはし  かつひと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三橋 克仁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381000</wp:posOffset>
            </wp:positionV>
            <wp:extent cx="1281113" cy="1830161"/>
            <wp:effectExtent b="25400" l="25400" r="25400" t="2540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1113" cy="1830161"/>
                    </a:xfrm>
                    <a:prstGeom prst="rect"/>
                    <a:ln w="25400">
                      <a:solidFill>
                        <a:srgbClr val="B7B7B7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222222"/>
          <w:sz w:val="21"/>
          <w:szCs w:val="21"/>
          <w:shd w:fill="f5f5f5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222222"/>
          <w:sz w:val="21"/>
          <w:szCs w:val="21"/>
          <w:shd w:fill="f5f5f5" w:val="clear"/>
          <w:rtl w:val="0"/>
        </w:rPr>
        <w:t xml:space="preserve">三橋 克仁</w:t>
      </w:r>
    </w:p>
    <w:p w:rsidR="00000000" w:rsidDel="00000000" w:rsidP="00000000" w:rsidRDefault="00000000" w:rsidRPr="00000000" w14:paraId="00000005">
      <w:pPr>
        <w:rPr>
          <w:color w:val="222222"/>
          <w:sz w:val="21"/>
          <w:szCs w:val="21"/>
          <w:shd w:fill="f5f5f5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shd w:fill="f5f5f5" w:val="clear"/>
          <w:rtl w:val="0"/>
        </w:rPr>
        <w:t xml:space="preserve">株式会社ファミトラ 代表取締役CEO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shd w:fill="f5f5f5" w:val="clear"/>
          <w:rtl w:val="0"/>
        </w:rPr>
        <w:t xml:space="preserve">2012年、株式会社マナボ(現 株式会社manabo)創業、代表取締役。オンデマンド個別指導アプリ「manabo」のプロトタイプを自ら開発、ベネッセ/Z会をはじめとする国内教育系大手企業各社との業務提携と累計6.2億円の資金調達を主導。2018年に駿台グループに売却。 2019年11月、BCI（Brain Computer Interface）の商用化を見据えAgeTech領域の事業を展開するBOSSA Technology Inc.（現 株式会社ファミトラ）を創業、代表取締役に就任。 Forbes 30 Under 30 2016 Asia選出などメディア出演多数。東京大学大学院工学系修士課程修了。</w:t>
      </w:r>
      <w:r w:rsidDel="00000000" w:rsidR="00000000" w:rsidRPr="00000000">
        <w:rPr>
          <w:rtl w:val="0"/>
        </w:rPr>
      </w:r>
    </w:p>
    <w:sectPr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